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03F3" w:rsidRDefault="004A7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T.C. </w:t>
      </w:r>
    </w:p>
    <w:p w14:paraId="00000002" w14:textId="77777777" w:rsidR="003A03F3" w:rsidRDefault="004A7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YEDİTEPE ÜNİVERSİTESİ</w:t>
      </w:r>
    </w:p>
    <w:p w14:paraId="00000003" w14:textId="77777777" w:rsidR="003A03F3" w:rsidRDefault="004A7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İLETİŞİM FAKÜLTESİ </w:t>
      </w:r>
    </w:p>
    <w:p w14:paraId="00000004" w14:textId="77777777" w:rsidR="003A03F3" w:rsidRDefault="004A7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GAZETECİLİK BÖLÜMÜ </w:t>
      </w:r>
    </w:p>
    <w:p w14:paraId="00000005" w14:textId="4A560948" w:rsidR="003A03F3" w:rsidRDefault="004A7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BİTİRME PROJESİ </w:t>
      </w:r>
      <w:r w:rsidR="00C96275">
        <w:rPr>
          <w:rFonts w:ascii="Times New Roman" w:eastAsia="Times New Roman" w:hAnsi="Times New Roman" w:cs="Times New Roman"/>
          <w:b/>
          <w:sz w:val="24"/>
          <w:szCs w:val="24"/>
        </w:rPr>
        <w:t>ESASLARI</w:t>
      </w:r>
    </w:p>
    <w:p w14:paraId="00000006" w14:textId="77777777" w:rsidR="003A03F3" w:rsidRDefault="003A03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3A03F3" w:rsidRDefault="003A03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3A03F3" w:rsidRDefault="004A7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BİRİNCİ BÖLÜM</w:t>
      </w:r>
    </w:p>
    <w:p w14:paraId="00000009" w14:textId="77777777" w:rsidR="003A03F3" w:rsidRDefault="004A7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Amaç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Kapsam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Dayanak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Tanımlar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A" w14:textId="77777777" w:rsidR="003A03F3" w:rsidRDefault="003A03F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7777777" w:rsidR="003A03F3" w:rsidRDefault="004A76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Amaç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C" w14:textId="2109A226" w:rsidR="003A03F3" w:rsidRDefault="004A7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MADDE 1- (1) Bu </w:t>
      </w:r>
      <w:proofErr w:type="spellStart"/>
      <w:r w:rsidR="00C96275">
        <w:rPr>
          <w:rFonts w:ascii="Times New Roman" w:eastAsia="Times New Roman" w:hAnsi="Times New Roman" w:cs="Times New Roman"/>
          <w:sz w:val="24"/>
          <w:szCs w:val="24"/>
        </w:rPr>
        <w:t>esasların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amacı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Yeditepe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Gazetecilik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öğrencilerinin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JRN 492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esasları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belirlemektir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D" w14:textId="77777777" w:rsidR="003A03F3" w:rsidRDefault="003A03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3A03F3" w:rsidRDefault="004A76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Kapsam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F" w14:textId="4CCC0A03" w:rsidR="003A03F3" w:rsidRDefault="004A7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MADDE 2- (1) Bu </w:t>
      </w:r>
      <w:proofErr w:type="spellStart"/>
      <w:r w:rsidR="00C96275">
        <w:rPr>
          <w:rFonts w:ascii="Times New Roman" w:eastAsia="Times New Roman" w:hAnsi="Times New Roman" w:cs="Times New Roman"/>
          <w:sz w:val="24"/>
          <w:szCs w:val="24"/>
        </w:rPr>
        <w:t>esaslar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Yeditepe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Gazetecilik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lisan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öğrencilerinin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öncesi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tamamlamakla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yükümlü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oldukları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hükümleri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0" w14:textId="77777777" w:rsidR="003A03F3" w:rsidRDefault="003A03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77777777" w:rsidR="003A03F3" w:rsidRDefault="004A76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Dayanak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2" w14:textId="3FB61E27" w:rsidR="003A03F3" w:rsidRDefault="004A7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MADDE 3- (1) Bu </w:t>
      </w:r>
      <w:proofErr w:type="spellStart"/>
      <w:r w:rsidR="00C96275">
        <w:rPr>
          <w:rFonts w:ascii="Times New Roman" w:eastAsia="Times New Roman" w:hAnsi="Times New Roman" w:cs="Times New Roman"/>
          <w:sz w:val="24"/>
          <w:szCs w:val="24"/>
        </w:rPr>
        <w:t>esaslar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2547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sayılı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Yükseköğretim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Kanunu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25/09/2015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28776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sayılı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Gazetede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yayımlanarak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yürürlüğe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Yeditepe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Eğitim-Öğretim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Sınav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Yönetmeliği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hükümlerine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hazırlanmıştır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3" w14:textId="77777777" w:rsidR="003A03F3" w:rsidRDefault="003A03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3A03F3" w:rsidRDefault="004A76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Tanımlar</w:t>
      </w:r>
      <w:proofErr w:type="spellEnd"/>
    </w:p>
    <w:p w14:paraId="00000015" w14:textId="57E2E9D4" w:rsidR="003A03F3" w:rsidRDefault="004A7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MADDE 4- (1) </w:t>
      </w:r>
      <w:proofErr w:type="spellStart"/>
      <w:r w:rsidR="00C96275">
        <w:rPr>
          <w:rFonts w:ascii="Times New Roman" w:eastAsia="Times New Roman" w:hAnsi="Times New Roman" w:cs="Times New Roman"/>
          <w:sz w:val="24"/>
          <w:szCs w:val="24"/>
        </w:rPr>
        <w:t>Bitirme</w:t>
      </w:r>
      <w:proofErr w:type="spellEnd"/>
      <w:r w:rsidR="00C96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6275"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 w:rsidR="00C96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6275">
        <w:rPr>
          <w:rFonts w:ascii="Times New Roman" w:eastAsia="Times New Roman" w:hAnsi="Times New Roman" w:cs="Times New Roman"/>
          <w:sz w:val="24"/>
          <w:szCs w:val="24"/>
        </w:rPr>
        <w:t>Esaslarında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geçen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kısaltmaların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açıklamaları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aşağıdaki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gibidir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16" w14:textId="77777777" w:rsidR="003A03F3" w:rsidRDefault="004A76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Danışman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sadece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elemanları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arasından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seçebileceği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JRN 492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dersini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yürüten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Projesine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destek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vererek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gösteren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öğretim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elemanını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17" w14:textId="77777777" w:rsidR="003A03F3" w:rsidRDefault="004A76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Gazetecilik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Bölümünü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18" w14:textId="77777777" w:rsidR="003A03F3" w:rsidRDefault="004A76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Üniversite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Yeditepe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Üniversitesi’ni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19" w14:textId="77777777" w:rsidR="003A03F3" w:rsidRDefault="004A7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A" w14:textId="77777777" w:rsidR="003A03F3" w:rsidRDefault="003A03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3A03F3" w:rsidRDefault="003A03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3A03F3" w:rsidRDefault="003A03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3A03F3" w:rsidRDefault="004A7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İKİNCİ BÖLÜM </w:t>
      </w:r>
    </w:p>
    <w:p w14:paraId="0000001E" w14:textId="77777777" w:rsidR="003A03F3" w:rsidRDefault="004A7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İlgili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Esaslar</w:t>
      </w:r>
      <w:proofErr w:type="spellEnd"/>
    </w:p>
    <w:p w14:paraId="0000001F" w14:textId="77777777" w:rsidR="003A03F3" w:rsidRDefault="003A03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3A03F3" w:rsidRDefault="004A76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kapsamı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amacı</w:t>
      </w:r>
      <w:proofErr w:type="spellEnd"/>
    </w:p>
    <w:p w14:paraId="00000021" w14:textId="77777777" w:rsidR="003A03F3" w:rsidRDefault="004A7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MADDE 5- 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bölümün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programına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kayıtlı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öğrenciler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alınması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başarılması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gereken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çalışmalardır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2" w14:textId="77777777" w:rsidR="003A03F3" w:rsidRDefault="004A76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MADDE 6 – (1)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Mezuniyet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projelerinin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amacı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öğrencilerin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kuramsal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veya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uygulamalı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konuda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lisans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eğitimlerinde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edindikleri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bilgi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becerilerini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kullanarak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araştırma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yorum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uygulama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yapmak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için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gerekli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süreç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teknikleri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yetkinlikle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kullanmalarını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ağlamaktır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 </w:t>
      </w:r>
    </w:p>
    <w:p w14:paraId="00000023" w14:textId="77777777" w:rsidR="003A03F3" w:rsidRDefault="003A03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3A03F3" w:rsidRDefault="004A76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alma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yarıyılı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şartı</w:t>
      </w:r>
      <w:proofErr w:type="spellEnd"/>
    </w:p>
    <w:p w14:paraId="00000025" w14:textId="77777777" w:rsidR="003A03F3" w:rsidRDefault="004A7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MADDE 6- 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Öğrenciler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gerçekleştirmek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bölüm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müfredatında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yarıyılda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JRN 492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dersine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kayıt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olurlar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6" w14:textId="77777777" w:rsidR="003A03F3" w:rsidRDefault="004A7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dersini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alacak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öğrenci</w:t>
      </w:r>
      <w:r>
        <w:rPr>
          <w:rFonts w:ascii="Times New Roman" w:eastAsia="Times New Roman" w:hAnsi="Times New Roman" w:cs="Times New Roman"/>
          <w:sz w:val="24"/>
          <w:szCs w:val="24"/>
        </w:rPr>
        <w:t>lerin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JRN 151, LAW 305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PHIL 152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derslerinden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başarılı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olmaları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gerekmektedir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7" w14:textId="77777777" w:rsidR="003A03F3" w:rsidRDefault="004A7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Öğrencilerin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hazırlık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yapabilmeleri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Gazetecilik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açıldığı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dönem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verilecek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Bilgilendirme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Toplantısı’na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katılmaları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gerekir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8" w14:textId="77777777" w:rsidR="003A03F3" w:rsidRDefault="003A03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9" w14:textId="77777777" w:rsidR="003A03F3" w:rsidRDefault="004A76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Temel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esaslar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A" w14:textId="77777777" w:rsidR="003A03F3" w:rsidRDefault="004A7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MADDE 7- 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projelerinin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yönetilme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hazırlanma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uygulanma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değerlendirme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süreçlerinin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yürütülmesi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Kılavuzu’nda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(EK-1)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belirtilen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esaslara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tabiidir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B" w14:textId="77777777" w:rsidR="003A03F3" w:rsidRDefault="004A7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dersinin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yürütülmesine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ilişkin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teslim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tarih</w:t>
      </w:r>
      <w:r>
        <w:rPr>
          <w:rFonts w:ascii="Times New Roman" w:eastAsia="Times New Roman" w:hAnsi="Times New Roman" w:cs="Times New Roman"/>
          <w:sz w:val="24"/>
          <w:szCs w:val="24"/>
        </w:rPr>
        <w:t>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değerlendirme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vb.)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esaslar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aracılığı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danışman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bildirilir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C" w14:textId="77777777" w:rsidR="003A03F3" w:rsidRDefault="004A7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projelerine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bölümün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üyeleri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görevlileri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danışmanlık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yapabilirler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D" w14:textId="77777777" w:rsidR="003A03F3" w:rsidRDefault="003A03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E" w14:textId="77777777" w:rsidR="003A03F3" w:rsidRDefault="004A76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Devam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zorunluluğu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F" w14:textId="77777777" w:rsidR="003A03F3" w:rsidRDefault="004A7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MADDE 8-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(1) 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Kılavuzu’nda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(EK-1)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belirlenen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randevu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sayısına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asgari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düzeyde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uymak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danışmanın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belirlediği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gün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içerisinde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danışmanı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hakkında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görüşme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yapmak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zorundadır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0" w14:textId="77777777" w:rsidR="003A03F3" w:rsidRDefault="004A7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dersini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yükümlülüğü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danışman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doldurulan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Tutanağı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(EK-2)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açıldığı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yarıyıl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sonunda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tutanağının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kopyasını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danışmanına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imzalattıktan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bölüm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başkanlığına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teslim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etmekle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yükümlüdür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1" w14:textId="77777777" w:rsidR="003A03F3" w:rsidRDefault="003A03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2" w14:textId="77777777" w:rsidR="003A03F3" w:rsidRDefault="004A76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yöntem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konusunun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belirlenmesi</w:t>
      </w:r>
      <w:proofErr w:type="spellEnd"/>
    </w:p>
    <w:p w14:paraId="00000033" w14:textId="77777777" w:rsidR="003A03F3" w:rsidRDefault="004A7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MADDE 9- 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yöntem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konuları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öğrencinin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araştırma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yetilerini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mesleki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becerilerini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yansıtacak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geliştirecek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belirlenir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4" w14:textId="77777777" w:rsidR="003A03F3" w:rsidRDefault="003A03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5" w14:textId="77777777" w:rsidR="003A03F3" w:rsidRDefault="004A76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Proje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konu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bildirim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onayı</w:t>
      </w:r>
      <w:proofErr w:type="spellEnd"/>
    </w:p>
    <w:p w14:paraId="00000036" w14:textId="77777777" w:rsidR="003A03F3" w:rsidRDefault="004A76AF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MADDE 9- 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danışmanın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önerileri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doğrultusunda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konusunu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belirler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Başvuru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nu (EK-3)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doldurup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danışmanına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imzalatarak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yarıyılın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haftasına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kopyayı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Bölüm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Sekreterliği’ne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kopyasını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danışmanında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muhafaza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edilmek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suretiyle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teslim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7" w14:textId="77777777" w:rsidR="003A03F3" w:rsidRDefault="003A03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8" w14:textId="77777777" w:rsidR="003A03F3" w:rsidRDefault="004A76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tamamlama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süresi</w:t>
      </w:r>
      <w:proofErr w:type="spellEnd"/>
    </w:p>
    <w:p w14:paraId="00000039" w14:textId="77777777" w:rsidR="003A03F3" w:rsidRDefault="004A76AF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MADDE 10- 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dersini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aldığı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dönemin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sonunda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teslim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etmekle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yükümlüdür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Süresinde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tamamlan</w:t>
      </w:r>
      <w:r>
        <w:rPr>
          <w:rFonts w:ascii="Times New Roman" w:eastAsia="Times New Roman" w:hAnsi="Times New Roman" w:cs="Times New Roman"/>
          <w:sz w:val="24"/>
          <w:szCs w:val="24"/>
        </w:rPr>
        <w:t>mayan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başarısız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sayılır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dersinden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başarısız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öğrencinin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yeniden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dersini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seçerek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kayıt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olması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gerekir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A" w14:textId="77777777" w:rsidR="003A03F3" w:rsidRDefault="003A03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B" w14:textId="77777777" w:rsidR="003A03F3" w:rsidRDefault="004A76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Projesinin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uygulaması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hazırlanması</w:t>
      </w:r>
      <w:proofErr w:type="spellEnd"/>
    </w:p>
    <w:p w14:paraId="0000003C" w14:textId="77777777" w:rsidR="003A03F3" w:rsidRDefault="004A7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MADDE 11 - 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öğrencinin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tercihiyle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danışman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aracılığıyla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yürütülür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Danışman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planlanması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çalışmalarının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sürdürülmesi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bulguların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yorumlanması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hususlarda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öğrenciye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rehberlik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D" w14:textId="77777777" w:rsidR="003A03F3" w:rsidRDefault="004A7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MADDE 12- 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öğrencinin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öneri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danışmanın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uygun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görmesi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hâlinde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kurallara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uygun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Gazetecilik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pratiğine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uygun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mecralarda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uygulamalı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yapılarak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gerçekleştirilir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E" w14:textId="77777777" w:rsidR="003A03F3" w:rsidRDefault="004A7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MADDE 13- 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bölümün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Kılavuzu’na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(EK-1)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hazırlanı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F" w14:textId="77777777" w:rsidR="003A03F3" w:rsidRDefault="004A7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görüldüğünde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Fakülte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Bölüm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Kurulları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Kılavuzu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üzerinde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değişiklik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yapabilir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40" w14:textId="77777777" w:rsidR="003A03F3" w:rsidRDefault="003A03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3A03F3" w:rsidRDefault="004A76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teslim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değerlendirme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esasları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42" w14:textId="77777777" w:rsidR="003A03F3" w:rsidRDefault="004A7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MADDE 14- (1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teslim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edilmeden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danışman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inceleni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düzeltilir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43" w14:textId="77777777" w:rsidR="003A03F3" w:rsidRDefault="004A7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tamamlayan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danışman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planlanan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esaslar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Kılavuzu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doğrultusunda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düzenlemeleri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çalışmalarını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teslim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uygun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hâle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getirir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44" w14:textId="77777777" w:rsidR="003A03F3" w:rsidRDefault="004A7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Teslime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hazır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getirilen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sınav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takviminde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belirlenen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tarihlerde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uygulamaya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uygun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yapılarak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dosyasıyla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birlikte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görevli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asistana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karşılığı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teslim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Uygulamalı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dosyasıyla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birli</w:t>
      </w:r>
      <w:r>
        <w:rPr>
          <w:rFonts w:ascii="Times New Roman" w:eastAsia="Times New Roman" w:hAnsi="Times New Roman" w:cs="Times New Roman"/>
          <w:sz w:val="24"/>
          <w:szCs w:val="24"/>
        </w:rPr>
        <w:t>kte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teslim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Uygulamalı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projelerde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uyulması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gereken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biçimsel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kurallar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hazırlayan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öğrencilerin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uyması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gereken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yazım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kuralları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formatıyla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bilgiler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bölümün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Kılavuzu’nda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(EK-1)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almakt</w:t>
      </w:r>
      <w:r>
        <w:rPr>
          <w:rFonts w:ascii="Times New Roman" w:eastAsia="Times New Roman" w:hAnsi="Times New Roman" w:cs="Times New Roman"/>
          <w:sz w:val="24"/>
          <w:szCs w:val="24"/>
        </w:rPr>
        <w:t>adır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45" w14:textId="77777777" w:rsidR="003A03F3" w:rsidRDefault="004A76AF">
      <w:pPr>
        <w:jc w:val="both"/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MADDE 15- 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dersinin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değerlendirme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süreci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Yazım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Kılavuzu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(EK-1)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çerçevesine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uygun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yürütülür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dersinde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yarıyıl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yarıyıl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sonunda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değerlendirilmesi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yapılı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yarıyıl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sınavın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%40’u, final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sınavının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%60’i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alınarak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hesaplanır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46" w14:textId="77777777" w:rsidR="003A03F3" w:rsidRDefault="004A76AF">
      <w:pPr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notunun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%40’ı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yerine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sözlü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yazılı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%60’ı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teslimi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JRN 492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dersinin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değerle</w:t>
      </w:r>
      <w:r>
        <w:rPr>
          <w:rFonts w:ascii="Times New Roman" w:eastAsia="Times New Roman" w:hAnsi="Times New Roman" w:cs="Times New Roman"/>
          <w:sz w:val="24"/>
          <w:szCs w:val="24"/>
        </w:rPr>
        <w:t>ndirme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alınarak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hesaplanır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47" w14:textId="77777777" w:rsidR="003A03F3" w:rsidRDefault="004A7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dersini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dosyası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içeriği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üzerinden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Kılavuzu’nda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(EK-1)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Değerlendirme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Formlarında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belirtilen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kriterlere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değerlendirilir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8" w14:textId="77777777" w:rsidR="003A03F3" w:rsidRDefault="004A7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JRN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492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dersinin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sınav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sınavı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üzerinden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Öğrencinin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üzerinden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hesaplanır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belirtilen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puanlama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alındığı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aşağıdaki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tabloda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gösterilen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aralıklar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dikkate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alına</w:t>
      </w:r>
      <w:r>
        <w:rPr>
          <w:rFonts w:ascii="Times New Roman" w:eastAsia="Times New Roman" w:hAnsi="Times New Roman" w:cs="Times New Roman"/>
          <w:sz w:val="24"/>
          <w:szCs w:val="24"/>
        </w:rPr>
        <w:t>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dönüştürülür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49" w14:textId="77777777" w:rsidR="003A03F3" w:rsidRDefault="003A03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50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3"/>
        <w:gridCol w:w="1929"/>
        <w:gridCol w:w="1442"/>
      </w:tblGrid>
      <w:tr w:rsidR="003A03F3" w14:paraId="389C8D41" w14:textId="77777777">
        <w:trPr>
          <w:jc w:val="center"/>
        </w:trPr>
        <w:tc>
          <w:tcPr>
            <w:tcW w:w="1633" w:type="dxa"/>
            <w:shd w:val="clear" w:color="auto" w:fill="auto"/>
          </w:tcPr>
          <w:p w14:paraId="0000004A" w14:textId="77777777" w:rsidR="003A03F3" w:rsidRDefault="004A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PUAN</w:t>
            </w:r>
          </w:p>
        </w:tc>
        <w:tc>
          <w:tcPr>
            <w:tcW w:w="1929" w:type="dxa"/>
            <w:shd w:val="clear" w:color="auto" w:fill="auto"/>
          </w:tcPr>
          <w:p w14:paraId="0000004B" w14:textId="77777777" w:rsidR="003A03F3" w:rsidRDefault="004A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HARF NOTU</w:t>
            </w:r>
          </w:p>
        </w:tc>
        <w:tc>
          <w:tcPr>
            <w:tcW w:w="1442" w:type="dxa"/>
            <w:shd w:val="clear" w:color="auto" w:fill="auto"/>
          </w:tcPr>
          <w:p w14:paraId="0000004C" w14:textId="77777777" w:rsidR="003A03F3" w:rsidRDefault="004A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KATSAYI</w:t>
            </w:r>
          </w:p>
        </w:tc>
      </w:tr>
      <w:tr w:rsidR="003A03F3" w14:paraId="68E3D459" w14:textId="77777777">
        <w:trPr>
          <w:jc w:val="center"/>
        </w:trPr>
        <w:tc>
          <w:tcPr>
            <w:tcW w:w="1633" w:type="dxa"/>
            <w:shd w:val="clear" w:color="auto" w:fill="auto"/>
          </w:tcPr>
          <w:p w14:paraId="0000004D" w14:textId="77777777" w:rsidR="003A03F3" w:rsidRDefault="004A76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 – 100</w:t>
            </w:r>
          </w:p>
        </w:tc>
        <w:tc>
          <w:tcPr>
            <w:tcW w:w="1929" w:type="dxa"/>
            <w:shd w:val="clear" w:color="auto" w:fill="auto"/>
          </w:tcPr>
          <w:p w14:paraId="0000004E" w14:textId="77777777" w:rsidR="003A03F3" w:rsidRDefault="004A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AA</w:t>
            </w:r>
          </w:p>
        </w:tc>
        <w:tc>
          <w:tcPr>
            <w:tcW w:w="1442" w:type="dxa"/>
            <w:shd w:val="clear" w:color="auto" w:fill="auto"/>
          </w:tcPr>
          <w:p w14:paraId="0000004F" w14:textId="77777777" w:rsidR="003A03F3" w:rsidRDefault="004A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</w:t>
            </w:r>
          </w:p>
        </w:tc>
      </w:tr>
      <w:tr w:rsidR="003A03F3" w14:paraId="07563D17" w14:textId="77777777">
        <w:trPr>
          <w:jc w:val="center"/>
        </w:trPr>
        <w:tc>
          <w:tcPr>
            <w:tcW w:w="1633" w:type="dxa"/>
            <w:shd w:val="clear" w:color="auto" w:fill="auto"/>
          </w:tcPr>
          <w:p w14:paraId="00000050" w14:textId="77777777" w:rsidR="003A03F3" w:rsidRDefault="004A7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85 – 89</w:t>
            </w:r>
          </w:p>
        </w:tc>
        <w:tc>
          <w:tcPr>
            <w:tcW w:w="1929" w:type="dxa"/>
            <w:shd w:val="clear" w:color="auto" w:fill="auto"/>
          </w:tcPr>
          <w:p w14:paraId="00000051" w14:textId="77777777" w:rsidR="003A03F3" w:rsidRDefault="004A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</w:t>
            </w:r>
          </w:p>
        </w:tc>
        <w:tc>
          <w:tcPr>
            <w:tcW w:w="1442" w:type="dxa"/>
            <w:shd w:val="clear" w:color="auto" w:fill="auto"/>
          </w:tcPr>
          <w:p w14:paraId="00000052" w14:textId="77777777" w:rsidR="003A03F3" w:rsidRDefault="004A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</w:tc>
      </w:tr>
      <w:tr w:rsidR="003A03F3" w14:paraId="12725E45" w14:textId="77777777">
        <w:trPr>
          <w:jc w:val="center"/>
        </w:trPr>
        <w:tc>
          <w:tcPr>
            <w:tcW w:w="1633" w:type="dxa"/>
            <w:shd w:val="clear" w:color="auto" w:fill="auto"/>
          </w:tcPr>
          <w:p w14:paraId="00000053" w14:textId="77777777" w:rsidR="003A03F3" w:rsidRDefault="004A76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 – 84</w:t>
            </w:r>
          </w:p>
        </w:tc>
        <w:tc>
          <w:tcPr>
            <w:tcW w:w="1929" w:type="dxa"/>
            <w:shd w:val="clear" w:color="auto" w:fill="auto"/>
          </w:tcPr>
          <w:p w14:paraId="00000054" w14:textId="77777777" w:rsidR="003A03F3" w:rsidRDefault="004A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BB</w:t>
            </w:r>
          </w:p>
        </w:tc>
        <w:tc>
          <w:tcPr>
            <w:tcW w:w="1442" w:type="dxa"/>
            <w:shd w:val="clear" w:color="auto" w:fill="auto"/>
          </w:tcPr>
          <w:p w14:paraId="00000055" w14:textId="77777777" w:rsidR="003A03F3" w:rsidRDefault="004A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</w:t>
            </w:r>
          </w:p>
        </w:tc>
      </w:tr>
      <w:tr w:rsidR="003A03F3" w14:paraId="48973869" w14:textId="77777777">
        <w:trPr>
          <w:jc w:val="center"/>
        </w:trPr>
        <w:tc>
          <w:tcPr>
            <w:tcW w:w="1633" w:type="dxa"/>
            <w:shd w:val="clear" w:color="auto" w:fill="auto"/>
          </w:tcPr>
          <w:p w14:paraId="00000056" w14:textId="77777777" w:rsidR="003A03F3" w:rsidRDefault="004A76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 – 79</w:t>
            </w:r>
          </w:p>
        </w:tc>
        <w:tc>
          <w:tcPr>
            <w:tcW w:w="1929" w:type="dxa"/>
            <w:shd w:val="clear" w:color="auto" w:fill="auto"/>
          </w:tcPr>
          <w:p w14:paraId="00000057" w14:textId="77777777" w:rsidR="003A03F3" w:rsidRDefault="004A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CB</w:t>
            </w:r>
          </w:p>
        </w:tc>
        <w:tc>
          <w:tcPr>
            <w:tcW w:w="1442" w:type="dxa"/>
            <w:shd w:val="clear" w:color="auto" w:fill="auto"/>
          </w:tcPr>
          <w:p w14:paraId="00000058" w14:textId="77777777" w:rsidR="003A03F3" w:rsidRDefault="004A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</w:tr>
      <w:tr w:rsidR="003A03F3" w14:paraId="6C5BE896" w14:textId="77777777">
        <w:trPr>
          <w:jc w:val="center"/>
        </w:trPr>
        <w:tc>
          <w:tcPr>
            <w:tcW w:w="1633" w:type="dxa"/>
            <w:shd w:val="clear" w:color="auto" w:fill="auto"/>
          </w:tcPr>
          <w:p w14:paraId="00000059" w14:textId="77777777" w:rsidR="003A03F3" w:rsidRDefault="004A76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 – 74</w:t>
            </w:r>
          </w:p>
        </w:tc>
        <w:tc>
          <w:tcPr>
            <w:tcW w:w="1929" w:type="dxa"/>
            <w:shd w:val="clear" w:color="auto" w:fill="auto"/>
          </w:tcPr>
          <w:p w14:paraId="0000005A" w14:textId="77777777" w:rsidR="003A03F3" w:rsidRDefault="004A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CC</w:t>
            </w:r>
          </w:p>
        </w:tc>
        <w:tc>
          <w:tcPr>
            <w:tcW w:w="1442" w:type="dxa"/>
            <w:shd w:val="clear" w:color="auto" w:fill="auto"/>
          </w:tcPr>
          <w:p w14:paraId="0000005B" w14:textId="77777777" w:rsidR="003A03F3" w:rsidRDefault="004A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</w:t>
            </w:r>
          </w:p>
        </w:tc>
      </w:tr>
      <w:tr w:rsidR="003A03F3" w14:paraId="1CF6B788" w14:textId="77777777">
        <w:trPr>
          <w:jc w:val="center"/>
        </w:trPr>
        <w:tc>
          <w:tcPr>
            <w:tcW w:w="1633" w:type="dxa"/>
            <w:shd w:val="clear" w:color="auto" w:fill="auto"/>
          </w:tcPr>
          <w:p w14:paraId="0000005C" w14:textId="77777777" w:rsidR="003A03F3" w:rsidRDefault="004A76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– 69</w:t>
            </w:r>
          </w:p>
        </w:tc>
        <w:tc>
          <w:tcPr>
            <w:tcW w:w="1929" w:type="dxa"/>
            <w:shd w:val="clear" w:color="auto" w:fill="auto"/>
          </w:tcPr>
          <w:p w14:paraId="0000005D" w14:textId="77777777" w:rsidR="003A03F3" w:rsidRDefault="004A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DC</w:t>
            </w:r>
          </w:p>
        </w:tc>
        <w:tc>
          <w:tcPr>
            <w:tcW w:w="1442" w:type="dxa"/>
            <w:shd w:val="clear" w:color="auto" w:fill="auto"/>
          </w:tcPr>
          <w:p w14:paraId="0000005E" w14:textId="77777777" w:rsidR="003A03F3" w:rsidRDefault="004A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3A03F3" w14:paraId="3FEBABC1" w14:textId="77777777">
        <w:trPr>
          <w:jc w:val="center"/>
        </w:trPr>
        <w:tc>
          <w:tcPr>
            <w:tcW w:w="1633" w:type="dxa"/>
            <w:shd w:val="clear" w:color="auto" w:fill="auto"/>
          </w:tcPr>
          <w:p w14:paraId="0000005F" w14:textId="77777777" w:rsidR="003A03F3" w:rsidRDefault="004A76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– 59</w:t>
            </w:r>
          </w:p>
        </w:tc>
        <w:tc>
          <w:tcPr>
            <w:tcW w:w="1929" w:type="dxa"/>
            <w:shd w:val="clear" w:color="auto" w:fill="auto"/>
          </w:tcPr>
          <w:p w14:paraId="00000060" w14:textId="77777777" w:rsidR="003A03F3" w:rsidRDefault="004A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DD</w:t>
            </w:r>
          </w:p>
        </w:tc>
        <w:tc>
          <w:tcPr>
            <w:tcW w:w="1442" w:type="dxa"/>
            <w:shd w:val="clear" w:color="auto" w:fill="auto"/>
          </w:tcPr>
          <w:p w14:paraId="00000061" w14:textId="77777777" w:rsidR="003A03F3" w:rsidRDefault="004A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</w:t>
            </w:r>
          </w:p>
        </w:tc>
      </w:tr>
      <w:tr w:rsidR="003A03F3" w14:paraId="4F28F2AA" w14:textId="77777777">
        <w:trPr>
          <w:jc w:val="center"/>
        </w:trPr>
        <w:tc>
          <w:tcPr>
            <w:tcW w:w="1633" w:type="dxa"/>
            <w:shd w:val="clear" w:color="auto" w:fill="auto"/>
          </w:tcPr>
          <w:p w14:paraId="00000062" w14:textId="77777777" w:rsidR="003A03F3" w:rsidRDefault="004A76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altı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9" w:type="dxa"/>
            <w:shd w:val="clear" w:color="auto" w:fill="auto"/>
          </w:tcPr>
          <w:p w14:paraId="00000063" w14:textId="77777777" w:rsidR="003A03F3" w:rsidRDefault="004A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FF</w:t>
            </w:r>
          </w:p>
        </w:tc>
        <w:tc>
          <w:tcPr>
            <w:tcW w:w="1442" w:type="dxa"/>
            <w:shd w:val="clear" w:color="auto" w:fill="auto"/>
          </w:tcPr>
          <w:p w14:paraId="00000064" w14:textId="77777777" w:rsidR="003A03F3" w:rsidRDefault="004A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</w:tr>
    </w:tbl>
    <w:p w14:paraId="00000065" w14:textId="77777777" w:rsidR="003A03F3" w:rsidRDefault="003A03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77777777" w:rsidR="003A03F3" w:rsidRDefault="004A76AF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MADDE 16– 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sınav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Kılavuzu’nda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(EK-1)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belirtilen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kriterler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alınarak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danışman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belirlenir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67" w14:textId="77777777" w:rsidR="003A03F3" w:rsidRDefault="004A76AF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Kılavuzu’na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(EK-1)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uygun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hazırlanmış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sınavında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değerlendirm</w:t>
      </w:r>
      <w:r>
        <w:rPr>
          <w:rFonts w:ascii="Times New Roman" w:eastAsia="Times New Roman" w:hAnsi="Times New Roman" w:cs="Times New Roman"/>
          <w:sz w:val="24"/>
          <w:szCs w:val="24"/>
        </w:rPr>
        <w:t>eye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kazanan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uygulamalı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bölüm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başkanlığı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üyesi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danışman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olacak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kişilik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jüri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oluşturulur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değerlendirme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jürisinin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değerlendirme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jüri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üyelerinin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verdiği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notların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ortalaması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alınarak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hesaplanır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68" w14:textId="77777777" w:rsidR="003A03F3" w:rsidRDefault="003A03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9" w14:textId="77777777" w:rsidR="003A03F3" w:rsidRDefault="003A03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A" w14:textId="77777777" w:rsidR="003A03F3" w:rsidRDefault="003A03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B" w14:textId="77777777" w:rsidR="003A03F3" w:rsidRDefault="003A03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C" w14:textId="77777777" w:rsidR="003A03F3" w:rsidRDefault="003A03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D" w14:textId="77777777" w:rsidR="003A03F3" w:rsidRDefault="003A03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E" w14:textId="77777777" w:rsidR="003A03F3" w:rsidRDefault="003A03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F" w14:textId="77777777" w:rsidR="003A03F3" w:rsidRDefault="003A03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0" w14:textId="77777777" w:rsidR="003A03F3" w:rsidRDefault="003A03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1" w14:textId="77777777" w:rsidR="003A03F3" w:rsidRDefault="003A03F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2" w14:textId="77777777" w:rsidR="003A03F3" w:rsidRDefault="003A03F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3" w14:textId="77777777" w:rsidR="003A03F3" w:rsidRDefault="004A7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ÜÇÜNCÜ BÖLÜM</w:t>
      </w:r>
    </w:p>
    <w:p w14:paraId="00000074" w14:textId="77777777" w:rsidR="003A03F3" w:rsidRDefault="004A7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Hükümler</w:t>
      </w:r>
      <w:proofErr w:type="spellEnd"/>
    </w:p>
    <w:p w14:paraId="00000075" w14:textId="77777777" w:rsidR="003A03F3" w:rsidRDefault="004A76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Yürürlük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76" w14:textId="27118E70" w:rsidR="003A03F3" w:rsidRDefault="004A7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MADDE 17- (1) Bu </w:t>
      </w:r>
      <w:proofErr w:type="spellStart"/>
      <w:r w:rsidR="00C96275">
        <w:rPr>
          <w:rFonts w:ascii="Times New Roman" w:eastAsia="Times New Roman" w:hAnsi="Times New Roman" w:cs="Times New Roman"/>
          <w:sz w:val="24"/>
          <w:szCs w:val="24"/>
        </w:rPr>
        <w:t>esaslar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Yeditepe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Senatosu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edildiği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tarihten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itibaren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yürürlüğe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77" w14:textId="76E41BD7" w:rsidR="003A03F3" w:rsidRDefault="004A7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MADDE 18- (1) Bu </w:t>
      </w:r>
      <w:proofErr w:type="spellStart"/>
      <w:r w:rsidR="00C96275">
        <w:rPr>
          <w:rFonts w:ascii="Times New Roman" w:eastAsia="Times New Roman" w:hAnsi="Times New Roman" w:cs="Times New Roman"/>
          <w:sz w:val="24"/>
          <w:szCs w:val="24"/>
        </w:rPr>
        <w:t>esaslar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Yeditepe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Eğitim-Öğretim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Sınav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Yönetmeliği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müfredat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değişikliklerinde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günce</w:t>
      </w:r>
      <w:r>
        <w:rPr>
          <w:rFonts w:ascii="Times New Roman" w:eastAsia="Times New Roman" w:hAnsi="Times New Roman" w:cs="Times New Roman"/>
          <w:sz w:val="24"/>
          <w:szCs w:val="24"/>
        </w:rPr>
        <w:t>llenir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78" w14:textId="382BF6B1" w:rsidR="003A03F3" w:rsidRDefault="004A7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MADDE 19- (1) Bu </w:t>
      </w:r>
      <w:proofErr w:type="spellStart"/>
      <w:r w:rsidR="00C96275">
        <w:rPr>
          <w:rFonts w:ascii="Times New Roman" w:eastAsia="Times New Roman" w:hAnsi="Times New Roman" w:cs="Times New Roman"/>
          <w:sz w:val="24"/>
          <w:szCs w:val="24"/>
        </w:rPr>
        <w:t>esasları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Yeditepe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6275">
        <w:rPr>
          <w:rFonts w:ascii="Times New Roman" w:eastAsia="Times New Roman" w:hAnsi="Times New Roman" w:cs="Times New Roman"/>
          <w:sz w:val="24"/>
          <w:szCs w:val="24"/>
        </w:rPr>
        <w:t>İletişim</w:t>
      </w:r>
      <w:proofErr w:type="spellEnd"/>
      <w:r w:rsidR="00C96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6275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yürütür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79" w14:textId="77777777" w:rsidR="003A03F3" w:rsidRDefault="003A03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71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3509"/>
      </w:tblGrid>
      <w:tr w:rsidR="003A03F3" w14:paraId="70F23EA5" w14:textId="77777777">
        <w:trPr>
          <w:trHeight w:val="284"/>
          <w:jc w:val="center"/>
        </w:trPr>
        <w:tc>
          <w:tcPr>
            <w:tcW w:w="7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A" w14:textId="4F6E0997" w:rsidR="003A03F3" w:rsidRDefault="00C96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Esasların</w:t>
            </w:r>
            <w:proofErr w:type="spellEnd"/>
            <w:r w:rsidR="004A76A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A76A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Yayınlandığı</w:t>
            </w:r>
            <w:proofErr w:type="spellEnd"/>
            <w:r w:rsidR="004A76A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A76A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Senatonun</w:t>
            </w:r>
            <w:proofErr w:type="spellEnd"/>
          </w:p>
        </w:tc>
      </w:tr>
      <w:tr w:rsidR="003A03F3" w14:paraId="185A2672" w14:textId="77777777">
        <w:trPr>
          <w:trHeight w:val="284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C" w14:textId="77777777" w:rsidR="003A03F3" w:rsidRDefault="004A7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Tarihi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D" w14:textId="77777777" w:rsidR="003A03F3" w:rsidRDefault="004A7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Sayısı</w:t>
            </w:r>
            <w:proofErr w:type="spellEnd"/>
          </w:p>
        </w:tc>
      </w:tr>
      <w:tr w:rsidR="003A03F3" w14:paraId="5581A979" w14:textId="77777777">
        <w:trPr>
          <w:trHeight w:val="284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E" w14:textId="77777777" w:rsidR="003A03F3" w:rsidRDefault="003A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F" w14:textId="77777777" w:rsidR="003A03F3" w:rsidRDefault="003A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03F3" w14:paraId="6A4F5A6D" w14:textId="77777777">
        <w:trPr>
          <w:trHeight w:val="284"/>
          <w:jc w:val="center"/>
        </w:trPr>
        <w:tc>
          <w:tcPr>
            <w:tcW w:w="7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0" w14:textId="2A4ECEE1" w:rsidR="003A03F3" w:rsidRDefault="00C96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Esasların</w:t>
            </w:r>
            <w:proofErr w:type="spellEnd"/>
            <w:r w:rsidR="004A76A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Kabul </w:t>
            </w:r>
            <w:proofErr w:type="spellStart"/>
            <w:r w:rsidR="004A76AF">
              <w:rPr>
                <w:rFonts w:ascii="Times New Roman" w:eastAsia="Times New Roman" w:hAnsi="Times New Roman" w:cs="Times New Roman"/>
                <w:b/>
                <w:color w:val="000000"/>
              </w:rPr>
              <w:t>Edildiği</w:t>
            </w:r>
            <w:proofErr w:type="spellEnd"/>
            <w:r w:rsidR="004A76A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A76AF">
              <w:rPr>
                <w:rFonts w:ascii="Times New Roman" w:eastAsia="Times New Roman" w:hAnsi="Times New Roman" w:cs="Times New Roman"/>
                <w:b/>
                <w:color w:val="000000"/>
              </w:rPr>
              <w:t>Mütevelli</w:t>
            </w:r>
            <w:proofErr w:type="spellEnd"/>
            <w:r w:rsidR="004A76A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A76AF">
              <w:rPr>
                <w:rFonts w:ascii="Times New Roman" w:eastAsia="Times New Roman" w:hAnsi="Times New Roman" w:cs="Times New Roman"/>
                <w:b/>
                <w:color w:val="000000"/>
              </w:rPr>
              <w:t>Heyetinin</w:t>
            </w:r>
            <w:proofErr w:type="spellEnd"/>
          </w:p>
        </w:tc>
      </w:tr>
      <w:tr w:rsidR="003A03F3" w14:paraId="014CEEC7" w14:textId="77777777">
        <w:trPr>
          <w:trHeight w:val="284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2" w14:textId="77777777" w:rsidR="003A03F3" w:rsidRDefault="004A7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Tarihi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3" w14:textId="77777777" w:rsidR="003A03F3" w:rsidRDefault="004A7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Sayısı</w:t>
            </w:r>
            <w:proofErr w:type="spellEnd"/>
          </w:p>
        </w:tc>
      </w:tr>
      <w:tr w:rsidR="003A03F3" w14:paraId="7F710056" w14:textId="77777777">
        <w:trPr>
          <w:trHeight w:val="284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4" w14:textId="77777777" w:rsidR="003A03F3" w:rsidRDefault="003A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5" w14:textId="77777777" w:rsidR="003A03F3" w:rsidRDefault="003A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0000086" w14:textId="77777777" w:rsidR="003A03F3" w:rsidRDefault="003A03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7" w14:textId="77777777" w:rsidR="003A03F3" w:rsidRDefault="003A03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8" w14:textId="77777777" w:rsidR="003A03F3" w:rsidRDefault="004A76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EKLER: </w:t>
      </w:r>
    </w:p>
    <w:p w14:paraId="00000089" w14:textId="77777777" w:rsidR="003A03F3" w:rsidRDefault="004A76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EK-1: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Kılavuzu</w:t>
      </w:r>
      <w:proofErr w:type="spellEnd"/>
    </w:p>
    <w:p w14:paraId="0000008A" w14:textId="77777777" w:rsidR="003A03F3" w:rsidRDefault="004A7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EK-2: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Başvuru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B" w14:textId="77777777" w:rsidR="003A03F3" w:rsidRDefault="004A76AF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EK-3: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Tutanağı</w:t>
      </w:r>
      <w:proofErr w:type="spellEnd"/>
    </w:p>
    <w:p w14:paraId="0000008C" w14:textId="77777777" w:rsidR="003A03F3" w:rsidRDefault="004A76AF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EK-4: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Değerlendirme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Tablosu</w:t>
      </w:r>
      <w:proofErr w:type="spellEnd"/>
    </w:p>
    <w:p w14:paraId="0000008D" w14:textId="77777777" w:rsidR="003A03F3" w:rsidRDefault="004A76AF">
      <w:pPr>
        <w:jc w:val="both"/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EK-5: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Uzaktan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Dönemi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Kılavuzu</w:t>
      </w:r>
      <w:proofErr w:type="spellEnd"/>
    </w:p>
    <w:p w14:paraId="0000008E" w14:textId="77777777" w:rsidR="003A03F3" w:rsidRDefault="003A03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F" w14:textId="77777777" w:rsidR="003A03F3" w:rsidRDefault="003A03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0" w14:textId="77777777" w:rsidR="003A03F3" w:rsidRDefault="003A03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1" w14:textId="77777777" w:rsidR="003A03F3" w:rsidRDefault="003A03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2" w14:textId="77777777" w:rsidR="003A03F3" w:rsidRDefault="003A03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3" w14:textId="77777777" w:rsidR="003A03F3" w:rsidRDefault="003A03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4" w14:textId="77777777" w:rsidR="003A03F3" w:rsidRDefault="003A03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5" w14:textId="77777777" w:rsidR="003A03F3" w:rsidRDefault="003A03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6" w14:textId="77777777" w:rsidR="003A03F3" w:rsidRDefault="003A03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7" w14:textId="77777777" w:rsidR="003A03F3" w:rsidRDefault="003A03F3">
      <w:pPr>
        <w:jc w:val="both"/>
      </w:pPr>
    </w:p>
    <w:sectPr w:rsidR="003A03F3">
      <w:footerReference w:type="default" r:id="rId8"/>
      <w:pgSz w:w="11906" w:h="16838"/>
      <w:pgMar w:top="1412" w:right="560" w:bottom="1138" w:left="1138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E16C" w14:textId="77777777" w:rsidR="004A76AF" w:rsidRDefault="004A76AF">
      <w:pPr>
        <w:spacing w:after="0" w:line="240" w:lineRule="auto"/>
      </w:pPr>
      <w:r>
        <w:separator/>
      </w:r>
    </w:p>
  </w:endnote>
  <w:endnote w:type="continuationSeparator" w:id="0">
    <w:p w14:paraId="3ECEFC03" w14:textId="77777777" w:rsidR="004A76AF" w:rsidRDefault="004A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8" w14:textId="5D9C6F96" w:rsidR="003A03F3" w:rsidRDefault="004A76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C96275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0000099" w14:textId="77777777" w:rsidR="003A03F3" w:rsidRDefault="003A03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1833" w14:textId="77777777" w:rsidR="004A76AF" w:rsidRDefault="004A76AF">
      <w:pPr>
        <w:spacing w:after="0" w:line="240" w:lineRule="auto"/>
      </w:pPr>
      <w:r>
        <w:separator/>
      </w:r>
    </w:p>
  </w:footnote>
  <w:footnote w:type="continuationSeparator" w:id="0">
    <w:p w14:paraId="5A25B6BF" w14:textId="77777777" w:rsidR="004A76AF" w:rsidRDefault="004A7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275C"/>
    <w:multiLevelType w:val="multilevel"/>
    <w:tmpl w:val="7C80B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3F3"/>
    <w:rsid w:val="003A03F3"/>
    <w:rsid w:val="004A76AF"/>
    <w:rsid w:val="00C9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AC8C"/>
  <w15:docId w15:val="{4D2E4B2D-FCE8-447E-9395-C1C66BBB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FF3274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FF3274"/>
    <w:rPr>
      <w:sz w:val="20"/>
      <w:szCs w:val="20"/>
      <w:lang w:val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FF3274"/>
    <w:rPr>
      <w:b/>
      <w:bCs/>
      <w:sz w:val="20"/>
      <w:szCs w:val="20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FF3274"/>
    <w:rPr>
      <w:rFonts w:ascii="Segoe UI" w:hAnsi="Segoe UI" w:cs="Segoe UI"/>
      <w:sz w:val="18"/>
      <w:szCs w:val="18"/>
      <w:lang w:val="en-US"/>
    </w:rPr>
  </w:style>
  <w:style w:type="character" w:styleId="Gl">
    <w:name w:val="Strong"/>
    <w:basedOn w:val="VarsaylanParagrafYazTipi"/>
    <w:uiPriority w:val="22"/>
    <w:qFormat/>
    <w:rsid w:val="005E32F7"/>
    <w:rPr>
      <w:b/>
      <w:bCs/>
    </w:rPr>
  </w:style>
  <w:style w:type="character" w:customStyle="1" w:styleId="stBilgiChar">
    <w:name w:val="Üst Bilgi Char"/>
    <w:basedOn w:val="VarsaylanParagrafYazTipi"/>
    <w:link w:val="stBilgi"/>
    <w:uiPriority w:val="99"/>
    <w:qFormat/>
    <w:rsid w:val="00434C68"/>
    <w:rPr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434C68"/>
    <w:rPr>
      <w:lang w:val="en-US"/>
    </w:rPr>
  </w:style>
  <w:style w:type="character" w:customStyle="1" w:styleId="InternetLink">
    <w:name w:val="Internet Link"/>
    <w:basedOn w:val="VarsaylanParagrafYazTipi"/>
    <w:uiPriority w:val="99"/>
    <w:semiHidden/>
    <w:unhideWhenUsed/>
    <w:rsid w:val="00FC185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5F14AF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ascii="Calibri" w:hAnsi="Calib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ascii="Calibri" w:hAnsi="Calib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FF3274"/>
    <w:pPr>
      <w:spacing w:line="240" w:lineRule="auto"/>
    </w:pPr>
    <w:rPr>
      <w:sz w:val="20"/>
      <w:szCs w:val="20"/>
    </w:rPr>
  </w:style>
  <w:style w:type="paragraph" w:styleId="AklamaKonusu">
    <w:name w:val="annotation subject"/>
    <w:basedOn w:val="AklamaMetni"/>
    <w:link w:val="AklamaKonusuChar"/>
    <w:uiPriority w:val="99"/>
    <w:semiHidden/>
    <w:unhideWhenUsed/>
    <w:qFormat/>
    <w:rsid w:val="00FF327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FF32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Dzeltme">
    <w:name w:val="Revision"/>
    <w:uiPriority w:val="99"/>
    <w:semiHidden/>
    <w:qFormat/>
    <w:rsid w:val="00FF3274"/>
    <w:rPr>
      <w:lang w:val="en-US"/>
    </w:rPr>
  </w:style>
  <w:style w:type="paragraph" w:styleId="ListeParagraf">
    <w:name w:val="List Paragraph"/>
    <w:basedOn w:val="Normal"/>
    <w:uiPriority w:val="34"/>
    <w:qFormat/>
    <w:rsid w:val="00FF32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5E32F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434C68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434C6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01445B"/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1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SfTH3gBIULSKlH2n/ic/LvAe0A==">AMUW2mXVmxSAlnRxpk986a6op5INgbV39yIzFwGnl/NlYNFtwIbs7gacMCRkn1B//EvRyvQ01XLhSp6wJvGPyoNB1dOykrtm2NLmzSpGxBw4mmtNItyI7LFj0R/DH9hY4pW9mhcpWzbwaetGEqYSMWksTGv3xYeEoQ==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1236</Words>
  <Characters>7048</Characters>
  <Application>Microsoft Office Word</Application>
  <DocSecurity>0</DocSecurity>
  <Lines>58</Lines>
  <Paragraphs>16</Paragraphs>
  <ScaleCrop>false</ScaleCrop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Kaan Arslan</cp:lastModifiedBy>
  <cp:revision>2</cp:revision>
  <dcterms:created xsi:type="dcterms:W3CDTF">2021-05-31T11:40:00Z</dcterms:created>
  <dcterms:modified xsi:type="dcterms:W3CDTF">2021-06-15T13:35:00Z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